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03920" w:rsidRPr="008724F8" w14:paraId="30349C96" w14:textId="77777777" w:rsidTr="00703920">
        <w:trPr>
          <w:tblCellSpacing w:w="15" w:type="dxa"/>
        </w:trPr>
        <w:tc>
          <w:tcPr>
            <w:tcW w:w="11040" w:type="dxa"/>
            <w:shd w:val="clear" w:color="auto" w:fill="F6F6F6"/>
            <w:vAlign w:val="center"/>
            <w:hideMark/>
          </w:tcPr>
          <w:p w14:paraId="002F4347" w14:textId="77777777" w:rsidR="00703920" w:rsidRPr="008724F8" w:rsidRDefault="00703920" w:rsidP="0070392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545454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545454"/>
                <w:sz w:val="21"/>
                <w:szCs w:val="21"/>
              </w:rPr>
              <w:t>ՀՀ ԿԱՌԱՎԱՐՈՒԹՅԱՆ ՈՐՈՇՈՒՄԸ ՔԱՂԱՔԱՑԻԱԿԱՆ ԾԱՌԱՅՈՒԹՅԱՆ ԹԱՓՈՒՐ ՊԱՇՏՈՆ ԶԲԱՂԵՑՆԵԼՈՒ ՀԱՄԱՐ ՄՐՑՈՒՅԹ ԱՆՑԿԱՑՆԵԼՈՒ ԿԱՐԳԸ ՍԱՀՄԱՆԵԼՈՒ ՄԱՍԻՆ</w:t>
            </w:r>
          </w:p>
        </w:tc>
      </w:tr>
    </w:tbl>
    <w:p w14:paraId="6D67FD42" w14:textId="77777777" w:rsidR="00703920" w:rsidRPr="008724F8" w:rsidRDefault="008724F8" w:rsidP="00703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4F8">
        <w:rPr>
          <w:rFonts w:ascii="Times New Roman" w:eastAsia="Times New Roman" w:hAnsi="Times New Roman" w:cs="Times New Roman"/>
          <w:sz w:val="24"/>
          <w:szCs w:val="24"/>
        </w:rPr>
        <w:pict w14:anchorId="6E6051CE">
          <v:rect id="_x0000_i1025" style="width:552pt;height:1.5pt" o:hrpct="0" o:hrstd="t" o:hrnoshade="t" o:hr="t" fillcolor="#878787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03920" w:rsidRPr="008724F8" w14:paraId="46078257" w14:textId="77777777" w:rsidTr="00703920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96BC23D" w14:textId="77777777" w:rsidR="00703920" w:rsidRPr="008724F8" w:rsidRDefault="00703920" w:rsidP="00703920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sz w:val="21"/>
                <w:szCs w:val="21"/>
              </w:rPr>
              <w:t> </w:t>
            </w:r>
          </w:p>
        </w:tc>
      </w:tr>
      <w:tr w:rsidR="00703920" w:rsidRPr="00703920" w14:paraId="33619F8E" w14:textId="77777777" w:rsidTr="00703920">
        <w:trPr>
          <w:tblCellSpacing w:w="0" w:type="dxa"/>
        </w:trPr>
        <w:tc>
          <w:tcPr>
            <w:tcW w:w="11040" w:type="dxa"/>
            <w:vAlign w:val="center"/>
            <w:hideMark/>
          </w:tcPr>
          <w:p w14:paraId="292017D4" w14:textId="77777777" w:rsidR="00703920" w:rsidRPr="008724F8" w:rsidRDefault="00703920" w:rsidP="00703920">
            <w:pPr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ՀԱՅԱՍՏԱՆԻ ՀԱՆՐԱՊԵՏՈՒԹՅԱՆ ԿԱՌԱՎԱՐՈՒԹՅՈՒՆ</w:t>
            </w:r>
          </w:p>
          <w:p w14:paraId="4F3ED9C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935CF95" w14:textId="77777777" w:rsidR="00703920" w:rsidRPr="008724F8" w:rsidRDefault="00703920" w:rsidP="00703920">
            <w:pPr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  <w:t>Ո Ր Ո Շ ՈՒ Մ</w:t>
            </w:r>
          </w:p>
          <w:p w14:paraId="60695F9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5861E1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27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2018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N 1554-Ն</w:t>
            </w:r>
          </w:p>
          <w:p w14:paraId="453D559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5D083CC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ՔԱՂԱՔԱՑԻԱԿԱՆ ԾԱՌԱՅՈՒԹՅԱՆ ԹԱՓՈՒՐ ՊԱՇՏՈՆ ԶԲԱՂԵՑՆԵԼՈՒ ՀԱՄԱՐ ՄՐՑՈՒՅԹ ԱՆՑԿԱՑՆԵԼՈՒ ԿԱՐԳԸ ՍԱՀՄԱՆԵԼՈՒ ՄԱՍԻՆ</w:t>
            </w:r>
          </w:p>
          <w:p w14:paraId="20111C8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B80264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10-րդ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է.</w:t>
            </w:r>
          </w:p>
          <w:p w14:paraId="0E497DB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համաձայն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հավելվածի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467812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ուժի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մտնում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2019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հունվարի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15-ից,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հավելվածի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14-րդ, 15-րդ, 21-րդ, 22-րդ, 24-րդ, 25-րդ, 26-րդ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3-րդ, 5-րդ, 6-րդ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41-րդ, 43-րդ, 45-47-րդ, 53-55-րդ, 57-66-րդ, 68-րդ, 69-րդ, 71-րդ, 72-րդ, 76-րդ, 79-րդ, 80-րդ, 84-րդ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4-6-րդ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88-90-րդ, 94-99-րդ, 102-րդ, 104-րդ, 106-րդ, 108-րդ, 111-րդ, 112-րդ, 114-րդ, 115-րդ, 127-րդ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150-րդ և 152-րդ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1D1D80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հավելվածի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14-րդ, 15-րդ, 21-րդ, 22-րդ, 24-րդ, 25-րդ, 26-րդ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3-րդ, 5-րդ, 6-րդ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41-րդ, 43-րդ, 45-47-րդ, 53-55-րդ, 57-66-րդ, 68-րդ, 69-րդ, 71-րդ, 72-րդ, 76-րդ, 79-րդ, 80-րդ, 84-րդ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4-6-րդ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88-90-րդ, 94-99-րդ, 102-րդ, 104-րդ, 106-րդ, 108-րդ, 111-րդ, 112-րդ, 114-րդ, 115-րդ, 127-րդ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150-րդ և 152-րդ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ուժի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մտնում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հոկտեմբերի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1-ից:</w:t>
            </w:r>
          </w:p>
          <w:p w14:paraId="6A598D3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(3-րդ </w:t>
            </w: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կետը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փոփ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 26.09.19 N 1272-Ն, 04.06.20 N 881-Ն)</w:t>
            </w:r>
          </w:p>
          <w:p w14:paraId="088B367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4839"/>
            </w:tblGrid>
            <w:tr w:rsidR="00703920" w:rsidRPr="008724F8" w14:paraId="3CB246A3" w14:textId="77777777" w:rsidTr="00703920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14:paraId="5FB49E7C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Հայաստանի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Հանրապետության</w:t>
                  </w:r>
                  <w:proofErr w:type="spellEnd"/>
                </w:p>
                <w:p w14:paraId="2F30EA8B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առաջին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փոխվարչապետի</w:t>
                  </w:r>
                  <w:proofErr w:type="spellEnd"/>
                </w:p>
                <w:p w14:paraId="02A294C4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պաշտոնակատար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3231D482" w14:textId="77777777" w:rsidR="00703920" w:rsidRPr="008724F8" w:rsidRDefault="00703920" w:rsidP="00703920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Ա.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Միրզոյան</w:t>
                  </w:r>
                  <w:proofErr w:type="spellEnd"/>
                </w:p>
              </w:tc>
            </w:tr>
            <w:tr w:rsidR="00703920" w:rsidRPr="008724F8" w14:paraId="430FC0E9" w14:textId="77777777" w:rsidTr="00703920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14:paraId="1E4CA9AB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  <w:p w14:paraId="7E15BF69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2018 թ.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դեկտեմբերի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27</w:t>
                  </w:r>
                </w:p>
                <w:p w14:paraId="235D2B7D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Երևան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485A1621" w14:textId="77777777" w:rsidR="00703920" w:rsidRPr="008724F8" w:rsidRDefault="00703920" w:rsidP="00703920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 </w:t>
                  </w:r>
                </w:p>
              </w:tc>
            </w:tr>
          </w:tbl>
          <w:p w14:paraId="4E688B1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9"/>
              <w:gridCol w:w="4521"/>
            </w:tblGrid>
            <w:tr w:rsidR="00703920" w:rsidRPr="008724F8" w14:paraId="2A2843DE" w14:textId="77777777" w:rsidTr="0070392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AC4F5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shd w:val="clear" w:color="auto" w:fill="FFFFFF"/>
                  <w:vAlign w:val="bottom"/>
                  <w:hideMark/>
                </w:tcPr>
                <w:p w14:paraId="3C6C849D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>Հավելված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br/>
                    <w:t xml:space="preserve">ՀՀ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>կառավարության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 xml:space="preserve"> 2018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>թվականի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br/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>դեկտեմբերի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 xml:space="preserve"> 27-ի N 1554-Ն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15"/>
                      <w:szCs w:val="15"/>
                    </w:rPr>
                    <w:t>որոշման</w:t>
                  </w:r>
                  <w:proofErr w:type="spellEnd"/>
                </w:p>
              </w:tc>
            </w:tr>
          </w:tbl>
          <w:p w14:paraId="65C0646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20D8AB9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Կ Ա Ր Գ</w:t>
            </w:r>
          </w:p>
          <w:p w14:paraId="333AC5F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70C8C0C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ՔԱՂԱՔԱՑԻԱԿԱՆ ԾԱՌԱՅՈՒԹՅԱՆ ԹԱՓՈՒՐ ՊԱՇՏՈՆ ԶԲԱՂԵՑՆԵԼՈՒ ՀԱՄԱՐ ՄՐՑՈՒՅԹ ԱՆՑԿԱՑՆԵԼՈՒ</w:t>
            </w:r>
          </w:p>
          <w:p w14:paraId="6099B49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 </w:t>
            </w:r>
          </w:p>
          <w:p w14:paraId="03B2EF2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1. ԸՆԴՀԱՆՈՒՐ ԴՐՈՒՅԹՆԵՐ</w:t>
            </w:r>
          </w:p>
          <w:p w14:paraId="028CCE1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6ECBCB1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կարգավորվում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հարաբերությունները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B3AC65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հավասար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հնարավորությունների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արժանիքների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8D7BCC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77177C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վարչապետի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Մարդու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պաշտպանի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Մարդու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պաշտպանի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70CFF8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6-րդ, 7-րդ և 8-րդ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ենթախմբերի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հարաբերությունների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տարածվում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8B4EAD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է՝</w:t>
            </w:r>
          </w:p>
          <w:p w14:paraId="4FA2F8E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ազատվելու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լիազորությունները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3A34717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հետևանքով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23-րդ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չհամալրվելու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8F0D19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9A684E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«ա»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կարգապահական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տույժը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կրկին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4443D2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«ա» և «բ»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կարգապահական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տույժերը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68E9AD7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«գ»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կարգապահական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տույժը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67B1B5C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անաշխատունակության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հետևանքով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չորս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ամիս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անընդմեջ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տասներկու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չներկայանալու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չհաշված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հղիության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ծննդաբերության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արձակուրդը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798836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փորձաշրջանը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չանցնելու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0F662B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խախտմամբ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միջնորդությամբ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ազատվելու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735947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10)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անհամատեղելիության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չպահպանելու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4D8E7E5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6E919DE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12)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նկատմամբ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ուժի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մտած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մեղադրական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դատավճռի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6363A00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առավելագույն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FFE0E3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անգործունակ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սահմանափակ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գործունակ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անհայտ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բացակայող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ճանաչվելու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50745B9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15)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զրկվելու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AEAF41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16)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լիազորությունների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խոչընդոտող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հիվանդություններից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հիվանդանալու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42A30BB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17)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անընդմեջ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մեղքով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վերապատրաստման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կրեդիտները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չստանալու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404706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18)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մահվան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3957DC0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19)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անվանացանկում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փոփոխությունների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A9FF6F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20)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փոխադրումից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փոխադրումներից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5D345F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փոխադրումից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փոխադրումներից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մնացած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52EF61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9-րդ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5A4558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C730A3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կադրերի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ռեզերվում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գրանցված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բավարարում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45BD3D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բավարարում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17-րդ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և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«ա»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կարգապահական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տույժը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կրկին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«ա» և «բ»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կարգապահական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տույժերը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«գ»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կարգապահական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տույժը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1D9F21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առաջխաղացումն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12904D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DAAA31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63E6E3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տեսանկարահանվում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ուղիղ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հեռարձակվում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71-րդ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տեսաձայնագրվում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1415F07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8B67F8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անկախ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C478C1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18.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ժամանակահատվածը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հարգելի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բացակայություն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FD6996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անվավեր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ճանաչվում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6C8349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անվավեր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ճանաչվելու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995C6A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51F34AB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2. ՄՐՑՈՒՅԹ ԱՆՑԿԱՑՆԵԼՈՒ ՄԱՍԻՆ ՀԱՅՏԱՐԱՐՈՒԹՅՈՒՆԸ</w:t>
            </w:r>
          </w:p>
          <w:p w14:paraId="7D870C7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0F679A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AA6446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79AEE7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մնալուց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երեք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DBC582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ամիս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կայքէջում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կայքէջում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ծանուցումների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ինտերնետային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կայքէջում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` www.azdarar.am:</w:t>
            </w:r>
          </w:p>
          <w:p w14:paraId="7D8DA33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կայքէջում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Հայաստանի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ծանուցումների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ինտերնետային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կայքէջում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` www.azdarar.am:</w:t>
            </w:r>
          </w:p>
          <w:p w14:paraId="3DBC05F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ներառում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13CE3F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4802466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A53EF4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հղումը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1104FE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ցանկը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9D68FE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վերջնաժամկետը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հաշվարկվում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քսանչորսժամյա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ռեժիմով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75BB79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649DC19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վայրը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318932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վայրը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30D1013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5D28D64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աշխատավարձի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2B225B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որակները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75D738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կոնտակտային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հեռախոսահամարը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):</w:t>
            </w:r>
          </w:p>
          <w:p w14:paraId="27252B8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27.Հայտարարության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բնագավառները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որոնցից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802C63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7D7A750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3. ՄՐՑՈՒՅԹԻ ԿԱԶՄԱԿԵՐՊՄԱՆ ԵՎ ԱՆՑԿԱՑՄԱՆ ՆԱԽԱՊԱՏՐԱՍՏԱԿԱՆ ԱՇԽԱՏԱՆՔՆԵՐԸ</w:t>
            </w:r>
          </w:p>
          <w:p w14:paraId="5DE824E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2DDD3EF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BC62DC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CD7ECA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29EEB6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45B9D0B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32.Հանրապետության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նախագահի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վարչապետի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Սահմանադրական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դատարանի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0488F7D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դեպարտամենտում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դեպարտամենտի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1597BFA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խորհրդի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խորհրդի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79A0426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տեսչական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անվանացանկով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տեսչական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141F85D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85E53A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մնալուց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5BC49F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38.Եթե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36E852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բավարարում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17-րդ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լրանալը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չունենալու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1F8510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ընդունման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վերջնաժամկետից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E49B4D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չներկայացվելու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CAC600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բավարարում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17-րդ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լրանալը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չունենալու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տեղեկացնելուց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BEC829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չկայանալու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B5A045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անընդմեջ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բավարարում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17-րդ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37-րդ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2-4-րդ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լրանալը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չունենալու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հոդվածով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76452D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45.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լուսանկարը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ECB03F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հսկիչ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օգնությամբ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D639F9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է՝</w:t>
            </w:r>
          </w:p>
          <w:p w14:paraId="61EEA95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1).</w:t>
            </w:r>
          </w:p>
          <w:p w14:paraId="1BE44D7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07DCC8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լուսանկար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3 x 4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51BB37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ուսումնասիրում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ամբողջականությունն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համապատասխանությունն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դրույթներին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2C0384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ուսումնասիրությունից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տալիս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2)՝</w:t>
            </w:r>
            <w:proofErr w:type="gram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33B5B5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երեք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72C4C9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երեք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982D58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50-րդ և 51-րդ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վերջնաժամկետին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B45C3D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չլինելու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դրանցում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վերջնաժամկետին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հնարավորություն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ընձեռելով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համալրել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ցանկը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շտկել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E77640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ուղղելու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շտկելու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համալրելու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վերադարձնելուց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ուղղում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համալրում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կրկին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հսկիչ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546291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55.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Կրկին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կրկին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FA3B73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հակասում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շտկվել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ուղղվել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համալրվել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հստակ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չթույլատրելու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հանդիսացած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թերություններն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հակասություններն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դրույթներին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6B9957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57.Մրցույթի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պատշաճ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ամփոփ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հաշվետվություններ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վիճակագրական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վերլուծություններ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նպատակով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մատյան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որտեղ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գրանցվում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սեռը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ծննդյան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ամիսը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նույնականացման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սերիան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լինելը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վավերականության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ժամկետը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համարանիշը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հրաժարվել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համարանիշի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տրամադրումից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հաշվառման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բնակության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հեռախոսահամարները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էջերի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8A8159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մատյաններում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գրառված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մատյաններում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գրառված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հասանելի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3519C3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վերջնաժամկետին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CE20F8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երեք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ժամանակացույցում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77B181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ցանկացած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24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հրաժարվել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85921D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61-րդ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հրաժարված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E7356E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63.Եթե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61-րդ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հրաժարվել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չկայանալու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9DA693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ժամանակացույց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B030F6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ժամանակացույցում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տեղեկություններն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ընդունման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ժամանակահատվածի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սկիզբն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հրաժարված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չներկայացվելու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չկայացած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F73245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ժամանակացույցում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F45AE0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F31A0D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4. ՄՐՑՈՒՅԹԻ ԹԵՍՏԱՎՈՐՄԱՆ ՓՈՒԼԸ</w:t>
            </w:r>
          </w:p>
          <w:p w14:paraId="3DF3A28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6AF1A1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67.Մրցույթի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):</w:t>
            </w:r>
          </w:p>
          <w:p w14:paraId="4689BB2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փոխանցում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ցուցակը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CDDA13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հատուկ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սրահ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լսարան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դահլիճ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համակարգիչներ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ծրագրատեխնիկական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սարքավորումներ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տեսանկարահանող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սարքեր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համակարգիչներն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կապուղիներին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D7F3B0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հաշմանդամություն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ապահովման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պայմաններ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507AF1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տեսողական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խնդիրներ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առանձին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պայմաններով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օգնում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տեսողական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խնդիրներ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բարձրաձայն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հստակ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ընթերցելով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հնչեցրած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Տեսողական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խնդիրներ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տեսանկարահանմանը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զուգահեռ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տեսաձայնագրվում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32D5E14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Տեսողական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խնդիրներ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մուտքագրում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տեսողական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խնդիրներ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հատուկ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համակարգչային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տեխնիկա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ապահովմամբ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22F157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պետք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բխեն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տիրապետմանը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356449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առանձնահատկություններից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ելնելով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բովանդակությամբ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F91A1E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հարաբերակցությունը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ենթախմբերի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ցածր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ենթախումբը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գերակշռում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0FD075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60F681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շրջանակը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իրենց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բովանդակային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առանձնահատկությամբ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818881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78.Գլխավոր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02945A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հրապարակումը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երեք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A62D29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C35D56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848B57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ստուգում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ինքնությունը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թույլատրում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մուտքը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867A45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83.Մրցույթի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մուտքը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սկսելուց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B17E02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արգելվում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է`</w:t>
            </w:r>
          </w:p>
          <w:p w14:paraId="6DFF873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իրենց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բերել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կապի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սարքեր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տպագիր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ձեռագիր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նյութեր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աղբյուր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հանդիսացող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EF25E2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աղմկել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հուշել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խոսել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3312179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գտնվող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581FE29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դուրս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ապաակտիվացնել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ծրագրերը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5A44491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մուտք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համակարգչում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ծրագրեր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8B4E4D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անջատել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վերագործարկել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համակարգիչը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կապուղիները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սնուցումը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սովորական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խափանող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գործողություններ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EBB5AF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թույլտվության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դուրս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49D167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արգելված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գործողությունները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ճանաչվում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անվավեր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զրո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97476B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խախտման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3FAA13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մանրամասն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106D1C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հավաստիանալով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պատրաստ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հասկացել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թույլատրում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մուտքագրել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իրենց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DAABE9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նախօրոք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զետեղված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կոդավորված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պատահական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տեսանելի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էկրանի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ցույց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պատահականության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սկզբունքով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միասնականացնելով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սակայն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հերթականությունը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4A5EBE5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էկրանին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FB9B40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տրամադրվում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90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23D2E6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զրո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չնշելը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02979B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սյունակում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22FFF1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ինքնաշխատ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պարբերաբար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նշումները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այնուհետև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5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էկրանի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հաղորդագրությամբ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հիշեցնում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65AAF8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ապաակտիվացնում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00CC03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պատճառով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հատկացված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վերջնական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ապաակտիվացնելու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ինքնաշխատ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43790B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պահպանումից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անմիջապես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ինքնաշխատ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ստուգում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էկրանին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արտաբերում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տոկոսային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արտահայտությամբ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միջոցով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անմիջապես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տպել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վերցնել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2B8A5C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հնարավորություն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տալիս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ծանոթանալու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կոնկրետ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իրենց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0BCE51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համաձայն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չլինելու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տեղեկանալուց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30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9AC76D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հստակ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վիճարկվող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քննում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ընդունում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թողնելու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8591D9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հիմնավոր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բավարարել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սխալ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վերահաշվարկ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DD19FF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առցանց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փոխանցում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քննում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առաջարկություն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DF3C79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առաջարկությամբ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ձևանմուշն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C3BB58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անմիջապես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9B0E50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վիճարկվել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իսկ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կայացնելը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մեկնաբանություն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24FDCE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տարբերակով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CDA075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հինգ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ովքեր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86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տոկոսին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80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տոկոսին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միևնույն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հնարավոր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պարզել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առավելագույն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հավաքած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հինգ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միևնույն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առավելագույն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հավաքած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հինգից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պակաս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ձեռք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հավաքել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նվազագույն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3599A9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չհաղթահարելու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F8D170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2B8746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փոխանցում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ցուցակը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955802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ցուցակը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02367D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ընդունելով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պատասխանատուի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չկայանալու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95351A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բովանդակային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առանձնահատկությունները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փոխվարչապետի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բովանդակային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առանձնահատկությունները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մեթոդաբանությունը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C6FAC6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կարճատև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տևողությամբ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խափանումների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հաշվարկը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կասեցվում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խափանման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վերացումը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եկել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այնպիսի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ընդհանուր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խափանումներ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վերացվել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կարճ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ժամանակամիջոցում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32-35-րդ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մարմիններում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հետաձգելու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շարունակելու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չավարտած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շարունակելու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կասեցված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ժամանակահատվածին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հավասարաչափ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ժամանակ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3361BF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եղանակով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արխիվացվում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թույլտվություն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ցուցակը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ճիշտ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ձևանմուշ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ցուցակը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բողոքարկման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խախտման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խախտման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տեսաձայնագրությունը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DDB110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828BB3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5. ՀԱՐՑԱԶՐՈՒՅՑՆ ԱՆՑԿԱՑՆՈՂ ՀԱՆՁՆԱԺՈՂՈՎԸ</w:t>
            </w:r>
          </w:p>
          <w:p w14:paraId="0DA2207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1FC5458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փոխվարչապետի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այսուհետ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փոխվարչապետ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թեկնածուների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ցանկից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E086DD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117.Յուրաքանչյուր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փոխվարչապետը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թեկնածուների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ցանկը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թեկնածուի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բջջային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հեռախոսահամարները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46B5E6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նպատակն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ապահովել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հավասար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մատչելիությունը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իրենց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ապահովել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հրապարակայնությունն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թափանցիկությունը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611420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երկրորդ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F1DD6C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նախորդող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6C4CBB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հինգ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6C8BD6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122.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՝</w:t>
            </w:r>
          </w:p>
          <w:p w14:paraId="5E178EB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նախագահի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վարչապետի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Սահմանադրական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դատարանի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48CA919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124-րդ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E41286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բացառությամբ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124-րդ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44B7AE4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տիրապետման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մակարդակն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ստուգելու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կարողություններ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5A53F0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նախագահի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վարչապետի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Սահմանադրական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դատարանի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1-ին, 2-րդ և 3-րդ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ենթախմբերի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ներքին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աուդիտորների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F7068C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ծառայողը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66F933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վերակազմակերպման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հետևանքով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ստեղծված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116ED24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ընդունված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անհատական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նախագահ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կազմակերպում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38519C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`</w:t>
            </w:r>
          </w:p>
          <w:p w14:paraId="043B8F9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ցուցակը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ձևավորելու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հղումը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հղումը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նրանց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որոշումները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BFF42B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AAFDB5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ամփոփում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177EAFE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22E670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7933C0B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51756E2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ստեղծված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տեսաձայնագրությունը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110564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վերապահված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գործառույթներ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ACB399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տեղեկացնելուց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դադարեցնում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գործունեությունը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316D0E2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։</w:t>
            </w:r>
          </w:p>
          <w:p w14:paraId="3FC3CB4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իրավազոր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հինգից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պակաս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անհրաժեշտ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առկայության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փոփոխություն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փոխարինող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ուշ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55A1A9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7CBBDF3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6. ՄՐՑՈՒՅԹԻ ՀԱՐՑԱԶՐՈՒՅՑԻ ՓՈՒԼԸ</w:t>
            </w:r>
          </w:p>
          <w:p w14:paraId="4E6FF7B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87EBEC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131.Հարցազրույցի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նպատակը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տիրապետման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մակարդակի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ստուգումն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ստացումն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7169EB4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թեստավորումը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առնվազն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774D15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առանձին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7901E3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ելնելով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գիտելիքների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կոմպետենցիաների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տիրապետմանը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EE430D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առաջարկության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332BAE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136.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առաջարկության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C38904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3):</w:t>
            </w:r>
          </w:p>
          <w:p w14:paraId="21049AF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իրավունք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ձեռք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բերած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միևնույն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ձևաչափերով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8B8AF3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կիրառման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հերթականությունը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027D75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140.Հարցազրույցի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ձևաչափից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կախված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մեթոդաբանությունը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113-րդ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37DA53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զուգահեռ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638CD4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անմիջապես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յուրաքանչյուր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ստորագրում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C281ED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Մինչ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սենյակից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դուրս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գալը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քննարկման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առարկա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դարձնելու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գնահատականները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ստորագրում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հավաստիանալով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A35111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չստորագրվելու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կազմվում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արձանագրություն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ստորագրվում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0DCEB5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ամփոփվում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ընդհանուր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գնահատականով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գնահատականների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հանրագումարն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է:</w:t>
            </w:r>
          </w:p>
          <w:p w14:paraId="163DD9C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4)՝</w:t>
            </w:r>
            <w:proofErr w:type="gram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ընտրում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թվին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ամենաբարձր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հանրագումարի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կեսից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հավաքած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DD95BD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147.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ստորագրել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անդամների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կեսից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6A56D8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148.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արդյունքում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չնշելով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367716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149.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ավարտից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բոլոր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արխիվացնելու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7276D12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 xml:space="preserve">150.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անձնակազմի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գլխավոր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քարտուղարի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գրասենյակի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կառուցվածքային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ոչ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չհաղթահարելու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3421F8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151.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ստանալուց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հետո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երեք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օրվա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իրավասություն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հաղթահարած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2AC15D8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152.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ընդունվելու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նույն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հաջորդ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նախապատրաստական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ստորաբաժանման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տեղադրվում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հարթակում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ինչպես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նաև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ինտերնետային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կայքէջում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572E072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4839"/>
            </w:tblGrid>
            <w:tr w:rsidR="00703920" w:rsidRPr="008724F8" w14:paraId="477D38A0" w14:textId="77777777" w:rsidTr="00703920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14:paraId="1BD5D184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Հայաստանի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Հանրապետության</w:t>
                  </w:r>
                  <w:proofErr w:type="spellEnd"/>
                </w:p>
                <w:p w14:paraId="74D38712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առաջին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փոխվարչապետի</w:t>
                  </w:r>
                  <w:proofErr w:type="spellEnd"/>
                </w:p>
                <w:p w14:paraId="71F1C0BC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պաշտոնակատար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627BEE98" w14:textId="77777777" w:rsidR="00703920" w:rsidRPr="008724F8" w:rsidRDefault="00703920" w:rsidP="00703920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Ա.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1"/>
                      <w:szCs w:val="21"/>
                    </w:rPr>
                    <w:t>Միրզոյան</w:t>
                  </w:r>
                  <w:proofErr w:type="spellEnd"/>
                </w:p>
              </w:tc>
            </w:tr>
          </w:tbl>
          <w:p w14:paraId="29F2322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B7C09A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 N 1</w:t>
            </w:r>
          </w:p>
          <w:p w14:paraId="708BC1B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8"/>
              <w:gridCol w:w="7742"/>
            </w:tblGrid>
            <w:tr w:rsidR="00703920" w:rsidRPr="008724F8" w14:paraId="41D81C1F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50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703920" w:rsidRPr="008724F8" w14:paraId="430F2B5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941041" w14:textId="77777777" w:rsidR="00703920" w:rsidRPr="008724F8" w:rsidRDefault="00703920" w:rsidP="00703920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>Ներբեռնել</w:t>
                        </w:r>
                        <w:proofErr w:type="spellEnd"/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>լուսանկարը</w:t>
                        </w:r>
                        <w:proofErr w:type="spellEnd"/>
                      </w:p>
                      <w:p w14:paraId="1740680E" w14:textId="77777777" w:rsidR="00703920" w:rsidRPr="008724F8" w:rsidRDefault="00703920" w:rsidP="00703920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</w:pPr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14:paraId="1CE49DC8" w14:textId="77777777" w:rsidR="00703920" w:rsidRPr="008724F8" w:rsidRDefault="00703920" w:rsidP="00703920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</w:pPr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14:paraId="0985BA15" w14:textId="77777777" w:rsidR="00703920" w:rsidRPr="008724F8" w:rsidRDefault="00703920" w:rsidP="00703920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</w:pPr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 w14:paraId="6A40627C" w14:textId="77777777" w:rsidR="00703920" w:rsidRPr="008724F8" w:rsidRDefault="00703920" w:rsidP="00703920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</w:pPr>
                        <w:r w:rsidRPr="008724F8">
                          <w:rPr>
                            <w:rFonts w:ascii="Sylfaen" w:eastAsia="Times New Roman" w:hAnsi="Sylfae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37FF02A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D1563CF" w14:textId="77777777" w:rsidR="00703920" w:rsidRPr="008724F8" w:rsidRDefault="00703920" w:rsidP="00703920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մարմնի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գլխավոր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քարտուղարին</w:t>
                  </w:r>
                  <w:proofErr w:type="spellEnd"/>
                </w:p>
                <w:p w14:paraId="48A2DD4E" w14:textId="77777777" w:rsidR="00703920" w:rsidRPr="008724F8" w:rsidRDefault="00703920" w:rsidP="00703920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Գլխավոր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քարտուղարի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մրցույթի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դեպքում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քաղաքացիական</w:t>
                  </w:r>
                  <w:proofErr w:type="spellEnd"/>
                </w:p>
                <w:p w14:paraId="2B10E2C3" w14:textId="77777777" w:rsidR="00703920" w:rsidRPr="008724F8" w:rsidRDefault="00703920" w:rsidP="00703920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գրասենյակի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ղեկավարին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</w:tr>
          </w:tbl>
          <w:p w14:paraId="1ABB9D7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2A94ADA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 -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ից</w:t>
            </w:r>
            <w:proofErr w:type="spellEnd"/>
          </w:p>
          <w:p w14:paraId="24D6CE3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հայրանունը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5FB0DE3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</w:t>
            </w:r>
          </w:p>
          <w:p w14:paraId="1F4957C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քաղաքացիությունը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),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սեռը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5BB8E31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</w:t>
            </w:r>
          </w:p>
          <w:p w14:paraId="5EED41A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անձնագրի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սերիան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համարը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երբ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կողմից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4EFD4C8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</w:t>
            </w:r>
          </w:p>
          <w:p w14:paraId="666DF09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համարանիշը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եթե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հրաժարվել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համարանիշի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տրամադրումից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  <w:p w14:paraId="22B2F1D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</w:t>
            </w:r>
          </w:p>
          <w:p w14:paraId="45F4DF6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հաշվառման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5E2A8C5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</w:t>
            </w:r>
          </w:p>
          <w:p w14:paraId="2157BCD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բնակության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3DF4D4B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</w:t>
            </w:r>
          </w:p>
          <w:p w14:paraId="7490F19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հեռախոսահամարները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՝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բջջային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7791969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</w:t>
            </w:r>
          </w:p>
          <w:p w14:paraId="274AB2D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էլեկտրոնային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փոստի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հասցեն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77BC8EF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17C4986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ԴԻՄՈՒՄ</w:t>
            </w:r>
          </w:p>
          <w:p w14:paraId="6C17942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Խնդրում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թույլատրել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ինձ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մասնակցելու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______________________________________________</w:t>
            </w:r>
          </w:p>
          <w:p w14:paraId="5F9AF20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lastRenderedPageBreak/>
              <w:t> 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5645004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___________________________________________________________________________________________</w:t>
            </w:r>
          </w:p>
          <w:p w14:paraId="302904B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ծածկագիրը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30A7385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1A2993F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հայտարարված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_____________________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481D1D5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                                       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տեսակը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1FFBE44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1D70744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Միաժամանակ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՝</w:t>
            </w:r>
          </w:p>
          <w:p w14:paraId="7E2A438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հայերենին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______________________________________________________________.</w:t>
            </w:r>
          </w:p>
          <w:p w14:paraId="366E5E0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տիրապետում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չեմ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տիրապետում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431AECD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4"/>
              <w:gridCol w:w="2286"/>
            </w:tblGrid>
            <w:tr w:rsidR="00703920" w:rsidRPr="008724F8" w14:paraId="632F3629" w14:textId="77777777" w:rsidTr="0070392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AFDD9CF" w14:textId="77777777" w:rsidR="00703920" w:rsidRPr="008724F8" w:rsidRDefault="00703920" w:rsidP="00703920">
                  <w:pPr>
                    <w:spacing w:after="0" w:line="240" w:lineRule="auto"/>
                    <w:ind w:firstLine="375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2.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դատական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կարգով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անգործունակ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սահմանափակ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գործունակ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799E03E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___________________.</w:t>
                  </w:r>
                </w:p>
                <w:p w14:paraId="653CA91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ճանաչվել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 </w:t>
                  </w:r>
                  <w:proofErr w:type="spellStart"/>
                  <w:proofErr w:type="gram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եմ,չեմ</w:t>
                  </w:r>
                  <w:proofErr w:type="spellEnd"/>
                  <w:proofErr w:type="gram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ճանաչվել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253DB13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3"/>
              <w:gridCol w:w="2637"/>
            </w:tblGrid>
            <w:tr w:rsidR="00703920" w:rsidRPr="008724F8" w14:paraId="78B693EA" w14:textId="77777777" w:rsidTr="00703920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AC366AA" w14:textId="77777777" w:rsidR="00703920" w:rsidRPr="008724F8" w:rsidRDefault="00703920" w:rsidP="00703920">
                  <w:pPr>
                    <w:spacing w:after="0" w:line="240" w:lineRule="auto"/>
                    <w:ind w:firstLine="375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3.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սահմանված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կարգով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չհանված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չմարված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դատվածություն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4654A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______________________.</w:t>
                  </w:r>
                </w:p>
                <w:p w14:paraId="3629B2A1" w14:textId="77777777" w:rsidR="00703920" w:rsidRPr="008724F8" w:rsidRDefault="00703920" w:rsidP="00703920">
                  <w:pPr>
                    <w:spacing w:after="0" w:line="240" w:lineRule="auto"/>
                    <w:ind w:firstLine="375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ունեմ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չունեմ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0F55788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5CFD00D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կառավարության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որոշմամբ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հաստատված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հիվանդությունների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ցանկում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ընդգրկված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հիվանդություններից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որևէ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մեկով</w:t>
            </w:r>
            <w:proofErr w:type="spellEnd"/>
          </w:p>
          <w:p w14:paraId="711654B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____________________________________.</w:t>
            </w:r>
          </w:p>
          <w:p w14:paraId="00BC6F5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տառապում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չեմ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տառապում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5808DA8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66B4A9D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տիրապետում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համակարգչային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ծրագրերին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՝</w:t>
            </w:r>
          </w:p>
          <w:p w14:paraId="3BE55E6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6963441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☐</w:t>
            </w:r>
            <w:proofErr w:type="gram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Windows,</w:t>
            </w:r>
            <w:r w:rsidRPr="008724F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☐</w:t>
            </w:r>
            <w:proofErr w:type="gram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Word,</w:t>
            </w:r>
            <w:r w:rsidRPr="008724F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☐</w:t>
            </w: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Excel,</w:t>
            </w:r>
            <w:r w:rsidRPr="008724F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☐</w:t>
            </w: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Access,</w:t>
            </w:r>
            <w:r w:rsidRPr="008724F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☐</w:t>
            </w: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PowerPoint, </w:t>
            </w:r>
            <w:r w:rsidRPr="008724F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☐</w:t>
            </w:r>
            <w:proofErr w:type="spellStart"/>
            <w:r w:rsidRPr="008724F8">
              <w:rPr>
                <w:rFonts w:ascii="Sylfaen" w:eastAsia="Times New Roman" w:hAnsi="Sylfaen" w:cs="Sylfae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038532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2BDA60A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տիրապետում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օտար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լեզուներին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՝</w:t>
            </w:r>
          </w:p>
          <w:p w14:paraId="73BB831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__________________________________________________________________________</w:t>
            </w:r>
          </w:p>
          <w:p w14:paraId="7BA11D0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տիրապետում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ազատ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կարդում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բացատրվել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6EE3E31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___________________________________________________________________________</w:t>
            </w:r>
          </w:p>
          <w:p w14:paraId="378B0CA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տիրապետում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ազատ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կարդում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կարող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բացատրվել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6C71E1F2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67F5FB5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7. ___________________________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հաշմանդամություն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62B857A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                    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ունեմ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չունեմ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55087996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12D655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8. ________________________________________________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տեսողական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խնդիրներ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596233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                 </w:t>
            </w: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ունեմ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չունեմ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6BD094B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BE63E1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հետևյալ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լուսապատճենները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՝</w:t>
            </w:r>
          </w:p>
          <w:p w14:paraId="0AE9044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854C37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դիպլոմ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)ի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)ը՝ 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56DACF1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գործունեությունը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հավաստող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2347AE0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զինվորական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գրքույկի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լուսապատճենը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  <w:p w14:paraId="0FEC020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՝ 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էջ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6C15DAC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6.</w:t>
            </w:r>
          </w:p>
          <w:p w14:paraId="1D77964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lastRenderedPageBreak/>
              <w:t>Նախազգուշացված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նշանակվելու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կեղծ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տվյալներ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պաշտոնից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ազատվելու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սահմանված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կարգով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պատասխանատվության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ենթարկվելու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:</w:t>
            </w:r>
          </w:p>
          <w:p w14:paraId="0FCE123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4099"/>
              <w:gridCol w:w="4714"/>
            </w:tblGrid>
            <w:tr w:rsidR="00703920" w:rsidRPr="008724F8" w14:paraId="2920498B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F9DA6B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Դիմող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E109E8F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____________________________ </w:t>
                  </w:r>
                </w:p>
                <w:p w14:paraId="2E9F87BA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26B1C1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(________________________________)</w:t>
                  </w:r>
                </w:p>
                <w:p w14:paraId="1C7E0205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ազգանունը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56B2172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092F6C8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  <w:vertAlign w:val="subscript"/>
              </w:rPr>
              <w:t> ________________________________________ </w:t>
            </w: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ամիսը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  <w:p w14:paraId="7B63D28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u w:val="single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N 2</w:t>
            </w:r>
          </w:p>
          <w:p w14:paraId="3F8FA00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03FB7F2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Եզրակացություն</w:t>
            </w:r>
            <w:proofErr w:type="spellEnd"/>
          </w:p>
          <w:p w14:paraId="624A5EC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____________________________________________________________________</w:t>
            </w:r>
          </w:p>
          <w:p w14:paraId="5A23B19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ծածկագիրը</w:t>
            </w:r>
            <w:proofErr w:type="spellEnd"/>
          </w:p>
          <w:p w14:paraId="265FF26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9E2198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դիմում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ներկայացրած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</w:t>
            </w:r>
            <w:proofErr w:type="spellEnd"/>
          </w:p>
          <w:p w14:paraId="01FA22E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_________________________________________________________________________</w:t>
            </w:r>
          </w:p>
          <w:p w14:paraId="741A40C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հայրանունը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2E34D17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B55913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ամբողջականության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դրանց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՝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Քաղաքացիական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, «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Հանրային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օրենքի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ակտերի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պահանջներին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համապատասխանության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</w:p>
          <w:p w14:paraId="5CB1890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7689"/>
              <w:gridCol w:w="1729"/>
            </w:tblGrid>
            <w:tr w:rsidR="00703920" w:rsidRPr="008724F8" w14:paraId="6E90CF8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E3CB4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հ/հ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AF96F67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Քաղաքացու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պահանջվող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տվյալները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E33A6C0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քաղաքացու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լրացված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տվյալները</w:t>
                  </w:r>
                  <w:proofErr w:type="spellEnd"/>
                </w:p>
              </w:tc>
            </w:tr>
            <w:tr w:rsidR="00703920" w:rsidRPr="008724F8" w14:paraId="66F316E6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76DF6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F64B55B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քաղաքացիությունը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58E161C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7703B3D0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C25098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9AA54B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տարիքային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սահմանը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2C4126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2D22145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416390F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97D016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հայերենին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տիրապետումը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216BB7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4BA6512E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7397EA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097AFF7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առնչությունը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զինվորական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468D4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3D777D7C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8525A1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D017C1C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համապատասխանությունը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«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օրենքի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14-րդ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հոդվածի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պահանջներին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D032A38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7A3894C8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5E167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E7500B6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Քաղաքացիական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»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օրենքի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37-րդ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հոդվածի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2-րդ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2-4-րդ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ենթակետերով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նախատեսված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հիմքերից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որևէ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մեկով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դադարեցրած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անձի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կողմից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մինչև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մեկ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տարին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լրանալը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տվյալ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պաշտոնի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մրցույթին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մասնակցելու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իրավունք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չունենալու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հիմքի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առկայությունը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A92D38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1B2D8D0C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7B0BBE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224B76E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կրթությունը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59DA0C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2A997603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D88C9EB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B71DEE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բուհը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03F9F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2227636E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511F8A" w14:textId="77777777" w:rsidR="00703920" w:rsidRPr="008724F8" w:rsidRDefault="00703920" w:rsidP="00703920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7.2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33D1CB" w14:textId="77777777" w:rsidR="00703920" w:rsidRPr="008724F8" w:rsidRDefault="00703920" w:rsidP="00703920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մասնագիտություն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ներ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204185C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7C89789D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1E3CEA" w14:textId="77777777" w:rsidR="00703920" w:rsidRPr="008724F8" w:rsidRDefault="00703920" w:rsidP="00703920">
                  <w:pPr>
                    <w:shd w:val="clear" w:color="auto" w:fill="FFFFFF"/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7.3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13C191" w14:textId="77777777" w:rsidR="00703920" w:rsidRPr="008724F8" w:rsidRDefault="00703920" w:rsidP="00703920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որակավորում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ներ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F5820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42EAF36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E522D6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7632B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աշխատանքային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ստաժը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փորձը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83D76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52E4BCDF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A890C6A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8.1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AE0F5C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ստաժը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E8FEF8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271EA667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2EA50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8.2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7D0A15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ստաժում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՝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կառուցվածքային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ղեկավարի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պաշտոնում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ստաժը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BF87EA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0EEE099B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DE294EF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8.3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87874A8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մասնագիտական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աշխատանքային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ստաժը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20371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164E035B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F34524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BB05B01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պաշտոնի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անձնագրով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պահանջվող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աշխատանքի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բնագավառում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ստաժը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A028E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7F518BC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E380F1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D670F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համակարգչային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ծրագրերին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տիրապետումը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8B7D41F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1B511762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66CBF1D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ECA9C1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օտար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լեզուների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տիրապետումը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39327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499E0B9D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0FAC785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FC506A4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այլ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տվյալներ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9CACC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5581E4B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F306964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47F5A0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փաստաթղթերի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ամբողջականությունը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A6BBD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5347D3E3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308C6F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8886880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փաստաթղթերի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համապատասխանությունն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իրավական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ակտերին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1DB8D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5987A8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  <w:gridCol w:w="4190"/>
            </w:tblGrid>
            <w:tr w:rsidR="00703920" w:rsidRPr="008724F8" w14:paraId="15D9FB60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A0E5A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մարմնի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անձնակազմի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կառավարման</w:t>
                  </w:r>
                  <w:proofErr w:type="spellEnd"/>
                </w:p>
                <w:p w14:paraId="48963CDC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ղեկավար</w:t>
                  </w:r>
                  <w:proofErr w:type="spellEnd"/>
                </w:p>
                <w:p w14:paraId="46A9A8E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Գլխավոր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քարտուղարի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մրցույթի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դեպքում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  <w:p w14:paraId="75C2603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քաղաքացիական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գրասենյակի</w:t>
                  </w:r>
                  <w:proofErr w:type="spellEnd"/>
                </w:p>
                <w:p w14:paraId="3CF303B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կառուցվածքային</w:t>
                  </w:r>
                  <w:proofErr w:type="spellEnd"/>
                </w:p>
                <w:p w14:paraId="51E156C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ղեկավար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4CCAA99E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668D57B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576A9FA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</w:t>
            </w:r>
          </w:p>
          <w:p w14:paraId="307CC9C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 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3E54A80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  <w:gridCol w:w="4190"/>
            </w:tblGrid>
            <w:tr w:rsidR="00703920" w:rsidRPr="008724F8" w14:paraId="2CCCB657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0BF409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մարմնի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անձնակազմի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կառավարման</w:t>
                  </w:r>
                  <w:proofErr w:type="spellEnd"/>
                </w:p>
                <w:p w14:paraId="541D496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-------------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մասնագետ</w:t>
                  </w:r>
                  <w:proofErr w:type="spellEnd"/>
                </w:p>
                <w:p w14:paraId="0295D3E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Գլխավոր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քարտուղարի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մրցույթի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դեպքում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  <w:p w14:paraId="48EE21F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քաղաքացիական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գրասենյակի</w:t>
                  </w:r>
                  <w:proofErr w:type="spellEnd"/>
                </w:p>
                <w:p w14:paraId="72993E7E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համապատասխան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կառուցվածքային</w:t>
                  </w:r>
                  <w:proofErr w:type="spellEnd"/>
                </w:p>
                <w:p w14:paraId="7BFF6919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ստորաբաժանման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---------------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մասնագետ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106FD1B5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447BFA2D" w14:textId="77777777" w:rsidR="00703920" w:rsidRPr="008724F8" w:rsidRDefault="00703920" w:rsidP="00703920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  <w:shd w:val="clear" w:color="auto" w:fill="FFFFFF"/>
              </w:rPr>
              <w:t>________________________</w:t>
            </w:r>
          </w:p>
          <w:p w14:paraId="633970A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2DA2B9F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</w:t>
            </w:r>
          </w:p>
          <w:p w14:paraId="56C5EF2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ամիսը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  <w:p w14:paraId="0274BFF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53F5A99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u w:val="single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u w:val="single"/>
              </w:rPr>
              <w:t> N 3</w:t>
            </w:r>
          </w:p>
          <w:p w14:paraId="1278FD6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469E0B3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Գնահատման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թերթ</w:t>
            </w:r>
            <w:proofErr w:type="spellEnd"/>
          </w:p>
          <w:p w14:paraId="38214307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6F153BA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_________________________________________________________________________</w:t>
            </w:r>
          </w:p>
          <w:p w14:paraId="1C9E8D40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ծածկագիրը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099D956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7D79A9B8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</w:t>
            </w:r>
            <w:proofErr w:type="spellEnd"/>
          </w:p>
          <w:p w14:paraId="3F70EA1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________________________________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փուլի</w:t>
            </w:r>
            <w:proofErr w:type="spellEnd"/>
          </w:p>
          <w:p w14:paraId="69D20E29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3A761A81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6569"/>
              <w:gridCol w:w="2824"/>
            </w:tblGrid>
            <w:tr w:rsidR="00703920" w:rsidRPr="008724F8" w14:paraId="70F3A798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E3980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հ/հ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94B7A11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Գնահատման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ոլորտը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F96A2E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Գնահատման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միավորները</w:t>
                  </w:r>
                  <w:proofErr w:type="spellEnd"/>
                </w:p>
              </w:tc>
            </w:tr>
            <w:tr w:rsidR="00703920" w:rsidRPr="008724F8" w14:paraId="23BFC7C8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E7156D9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D1D9A9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Մասնագիտական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գիտելիքներ</w:t>
                  </w:r>
                  <w:proofErr w:type="spellEnd"/>
                </w:p>
              </w:tc>
            </w:tr>
            <w:tr w:rsidR="00703920" w:rsidRPr="008724F8" w14:paraId="65259F56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5FF72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F98A50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DFFB09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43B6A86F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F5E9F5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C13216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4F41AD8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1AA619F9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688D9A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0D40A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75721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0903172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3F1B7A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0E161A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72A3CF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5363F165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9C6D5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A1C7116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1-ին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կետի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ենթակետերի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հանրագումարը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`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2B2CD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0FE93413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C309FDC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071918A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Կոմպետենցիաներ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գործնական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ունակություններ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հմտություններ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</w:tr>
            <w:tr w:rsidR="00703920" w:rsidRPr="008724F8" w14:paraId="161EB006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07F87AF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lastRenderedPageBreak/>
                    <w:t>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8502B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C50A09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17BE1EE8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25384DC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1CCBFB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CA30C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3A5FD4ED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B4713C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2.3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C690B8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EBEFEB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4703B982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97857A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C8379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408F74A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03A89B81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4F0921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C211202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2-րդ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կետի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ենթակետերի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հանրագումարը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`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BBCC399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15C00939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6624BF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40889F0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Ընդամենը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 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բոլոր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ենթակետերի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հանրագումարը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)`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A07BF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32E916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4046"/>
              <w:gridCol w:w="3215"/>
            </w:tblGrid>
            <w:tr w:rsidR="00703920" w:rsidRPr="008724F8" w14:paraId="0B0A902E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C8D9B2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Հանձնաժողովի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անդամ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F86D701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2F3210D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___________________________</w:t>
                  </w:r>
                </w:p>
                <w:p w14:paraId="4447A17A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ազգանունը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0285AAA0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F49EA7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1B3873B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F57B349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297234FB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CEF6AF4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Մրցույթի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մասնակից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7E700A3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10509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____________________________ </w:t>
                  </w:r>
                </w:p>
                <w:p w14:paraId="20EFC556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 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ազգանունը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1D6758A1" w14:textId="77777777" w:rsidR="00703920" w:rsidRPr="008724F8" w:rsidRDefault="00703920" w:rsidP="00703920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  <w:shd w:val="clear" w:color="auto" w:fill="FFFFFF"/>
              </w:rPr>
              <w:t> </w:t>
            </w:r>
          </w:p>
          <w:p w14:paraId="20BFCAFE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  <w:vertAlign w:val="subscript"/>
              </w:rPr>
              <w:t>________________________________</w:t>
            </w:r>
          </w:p>
          <w:p w14:paraId="78DB3615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0CB6AC3B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56FA1CC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u w:val="single"/>
              </w:rPr>
              <w:t>Ձև</w:t>
            </w:r>
            <w:proofErr w:type="spellEnd"/>
            <w:r w:rsidRPr="008724F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u w:val="single"/>
              </w:rPr>
              <w:t xml:space="preserve"> N 4</w:t>
            </w:r>
          </w:p>
          <w:p w14:paraId="542F448D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3465C6E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Եզրակացություն</w:t>
            </w:r>
            <w:proofErr w:type="spellEnd"/>
          </w:p>
          <w:p w14:paraId="3F8BE15C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________________________________________________________________</w:t>
            </w:r>
          </w:p>
          <w:p w14:paraId="745159AA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 (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համապատասխան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մարմնի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պաշտոնի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ծածկագիրը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  <w:p w14:paraId="6FE9C764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p w14:paraId="7693323F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թափուր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պաշտոնն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զբաղեցնելու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անցկացվող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մրցույթի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հարցազրույցի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վերաբերյալ</w:t>
            </w:r>
            <w:proofErr w:type="spellEnd"/>
          </w:p>
          <w:p w14:paraId="07FBA2E3" w14:textId="77777777" w:rsidR="00703920" w:rsidRPr="008724F8" w:rsidRDefault="00703920" w:rsidP="00703920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724F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1632"/>
              <w:gridCol w:w="2774"/>
              <w:gridCol w:w="1818"/>
              <w:gridCol w:w="1593"/>
              <w:gridCol w:w="1601"/>
            </w:tblGrid>
            <w:tr w:rsidR="00703920" w:rsidRPr="008724F8" w14:paraId="37FD72F0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BA485A7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հ/հ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A8316E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Մասնակցի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հայրանունը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ազգանունը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C7D3A07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Մասնակցի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անձնագրային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տվյալները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br/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սերիան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տրման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ամսաթիվը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ում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կողմից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տրվել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հանրային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ծառայությունների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համարանիշը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B27FC0E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Հարցազրույցի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արդյունքում</w:t>
                  </w:r>
                  <w:proofErr w:type="spellEnd"/>
                </w:p>
              </w:tc>
            </w:tr>
            <w:tr w:rsidR="00703920" w:rsidRPr="008724F8" w14:paraId="2D9AA627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2F307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62FF7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EEBDCA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F3AE26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հնարավոր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առավելագույն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քանակը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E6CB16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մասնակցի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ստացած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քանակը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DDE4AC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մասնակցի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ստացած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միավորները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տոկոսով</w:t>
                  </w:r>
                  <w:proofErr w:type="spellEnd"/>
                </w:p>
              </w:tc>
            </w:tr>
            <w:tr w:rsidR="00703920" w:rsidRPr="008724F8" w14:paraId="31B98714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E4EFD3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9D13A5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AB7B01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EA1FD8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7D466A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A71FB1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4FC1FF09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7FE42E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61915B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11FEF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56F185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2053D1C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0638E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20BFD11C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061E5B1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B5A6F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D25E1E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71745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1885C5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74A197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363B3123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9C5ED2B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9288E3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E3EC8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9F4F09F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BFE2DA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06E659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03920" w:rsidRPr="008724F8" w14:paraId="3C98E23A" w14:textId="77777777" w:rsidTr="007039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D8CDCE" w14:textId="77777777" w:rsidR="00703920" w:rsidRPr="008724F8" w:rsidRDefault="00703920" w:rsidP="007039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5C134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5B800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74B571A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5929A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9FE82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02B934D" w14:textId="77777777" w:rsidR="00703920" w:rsidRPr="008724F8" w:rsidRDefault="00703920" w:rsidP="00703920">
            <w:pPr>
              <w:spacing w:after="0" w:line="240" w:lineRule="auto"/>
              <w:rPr>
                <w:rFonts w:ascii="Sylfaen" w:eastAsia="Times New Roman" w:hAnsi="Sylfaen" w:cs="Times New Roman"/>
                <w:vanish/>
                <w:sz w:val="21"/>
                <w:szCs w:val="21"/>
              </w:rPr>
            </w:pPr>
          </w:p>
          <w:tbl>
            <w:tblPr>
              <w:tblW w:w="9750" w:type="dxa"/>
              <w:jc w:val="center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3741"/>
              <w:gridCol w:w="3748"/>
            </w:tblGrid>
            <w:tr w:rsidR="00703920" w:rsidRPr="008724F8" w14:paraId="7749FC34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2BECEB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Հարցազրույցը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հաղթահարել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է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5D0CD882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_____________________________________________:</w:t>
                  </w:r>
                </w:p>
                <w:p w14:paraId="50DADC80" w14:textId="77777777" w:rsidR="00703920" w:rsidRPr="008724F8" w:rsidRDefault="00703920" w:rsidP="00703920">
                  <w:pPr>
                    <w:spacing w:after="0" w:line="240" w:lineRule="auto"/>
                    <w:ind w:firstLine="375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հայրանունը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ազգանունը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49A56A3B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C5D51B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3140EC7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87BE89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03920" w:rsidRPr="008724F8" w14:paraId="71969626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9E938D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Հանձնաժողովի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նախագահ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3358C88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85D18BF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14:paraId="168B1AFA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ազգանունը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252780A4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0B2BE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9F758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C6BF87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3920" w:rsidRPr="008724F8" w14:paraId="70653681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77EC8C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Հանձնաժողովի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անդամներ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՝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E952C8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319B06C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____________________________</w:t>
                  </w:r>
                </w:p>
                <w:p w14:paraId="3B922369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ազգանունը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7A94DD62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5E8D80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B3F3B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985F83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3920" w:rsidRPr="008724F8" w14:paraId="6FAEFCBC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BFDF82B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2659B9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4CC859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76B9C4EE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722A29F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C57E0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180012D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3920" w:rsidRPr="008724F8" w14:paraId="4DBAD508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FC4D76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D881E20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9F882B2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3D523253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38B832E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342512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D7F079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3920" w:rsidRPr="008724F8" w14:paraId="53D9EF7C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5615C51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31F51D0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3926FDA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_______________________ </w:t>
                  </w: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ստորագրություն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  <w:tr w:rsidR="00703920" w:rsidRPr="008724F8" w14:paraId="33665F49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AC55A76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2C48B8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DEE8B6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3920" w:rsidRPr="00703920" w14:paraId="15CBAA30" w14:textId="77777777" w:rsidTr="0070392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96232D5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4501E0" w14:textId="77777777" w:rsidR="00703920" w:rsidRPr="008724F8" w:rsidRDefault="00703920" w:rsidP="00703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65C8D0" w14:textId="77777777" w:rsidR="00703920" w:rsidRPr="008724F8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  <w:vertAlign w:val="subscript"/>
                    </w:rPr>
                    <w:t>_______________________________</w:t>
                  </w:r>
                </w:p>
                <w:p w14:paraId="04D5B69F" w14:textId="77777777" w:rsidR="00703920" w:rsidRPr="00703920" w:rsidRDefault="00703920" w:rsidP="0070392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օրը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ամիսը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տարին</w:t>
                  </w:r>
                  <w:proofErr w:type="spellEnd"/>
                  <w:r w:rsidRPr="008724F8">
                    <w:rPr>
                      <w:rFonts w:ascii="Sylfaen" w:eastAsia="Times New Roman" w:hAnsi="Sylfaen" w:cs="Times New Roman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414C9E4C" w14:textId="77777777" w:rsidR="00703920" w:rsidRPr="00703920" w:rsidRDefault="00703920" w:rsidP="00703920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</w:rPr>
            </w:pPr>
          </w:p>
        </w:tc>
      </w:tr>
    </w:tbl>
    <w:p w14:paraId="0FB40673" w14:textId="77777777" w:rsidR="00C02722" w:rsidRDefault="00C02722"/>
    <w:sectPr w:rsidR="00C0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1A"/>
    <w:rsid w:val="002F3974"/>
    <w:rsid w:val="00335A95"/>
    <w:rsid w:val="00555A34"/>
    <w:rsid w:val="00566698"/>
    <w:rsid w:val="00681C1A"/>
    <w:rsid w:val="00703920"/>
    <w:rsid w:val="008724F8"/>
    <w:rsid w:val="00AB15D2"/>
    <w:rsid w:val="00C02722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80C23-99A7-4202-9E93-8C3EA58B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4D3-2092-411A-B6CF-A851EDAF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9011</Words>
  <Characters>51368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Sargysan</dc:creator>
  <cp:keywords/>
  <dc:description/>
  <cp:lastModifiedBy>Lusine Sargysan</cp:lastModifiedBy>
  <cp:revision>13</cp:revision>
  <dcterms:created xsi:type="dcterms:W3CDTF">2021-10-06T11:40:00Z</dcterms:created>
  <dcterms:modified xsi:type="dcterms:W3CDTF">2022-01-13T13:32:00Z</dcterms:modified>
</cp:coreProperties>
</file>